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7D70DDF3" w14:textId="77777777" w:rsidR="00BA7509" w:rsidRDefault="00000000">
      <w:pPr>
        <w:pStyle w:val="Heading1"/>
      </w:pPr>
      <w:r>
        <w:t>EW-SG-01 Safeguarding Policy</w:t>
      </w:r>
    </w:p>
    <w:tbl>
      <w:tblPr>
        <w:tblStyle w:val="TableGrid"/>
        <w:tblW w:w="0" w:type="auto"/>
        <w:tblLayout w:type="fixed"/>
        <w:tblLook w:val="0420" w:firstRow="1" w:lastRow="0" w:firstColumn="0" w:lastColumn="0" w:noHBand="0" w:noVBand="1"/>
      </w:tblPr>
      <w:tblGrid>
        <w:gridCol w:w="2912"/>
        <w:gridCol w:w="6447"/>
      </w:tblGrid>
      <w:tr w:rsidR="00BA7509" w14:paraId="0D7E4347" w14:textId="77777777">
        <w:trPr>
          <w:tblHeader/>
        </w:trPr>
        <w:tc>
          <w:tcPr>
            <w:tcW w:w="2912" w:type="dxa"/>
            <w:shd w:val="clear" w:color="auto" w:fill="F2F2F2"/>
          </w:tcPr>
          <w:p w14:paraId="6DFFC144" w14:textId="77777777" w:rsidR="00BA7509" w:rsidRDefault="00000000">
            <w:r>
              <w:t>Field</w:t>
            </w:r>
          </w:p>
        </w:tc>
        <w:tc>
          <w:tcPr>
            <w:tcW w:w="6447" w:type="dxa"/>
            <w:shd w:val="clear" w:color="auto" w:fill="F2F2F2"/>
          </w:tcPr>
          <w:p w14:paraId="07A62FA3" w14:textId="77777777" w:rsidR="00BA7509" w:rsidRDefault="00000000">
            <w:r>
              <w:t>Entry</w:t>
            </w:r>
          </w:p>
        </w:tc>
      </w:tr>
      <w:tr w:rsidR="00BA7509" w14:paraId="46EAB03C" w14:textId="77777777">
        <w:tc>
          <w:tcPr>
            <w:tcW w:w="2912" w:type="dxa"/>
          </w:tcPr>
          <w:p w14:paraId="3FE7C413" w14:textId="77777777" w:rsidR="00BA7509" w:rsidRDefault="00000000">
            <w:r>
              <w:t>Reference</w:t>
            </w:r>
          </w:p>
        </w:tc>
        <w:tc>
          <w:tcPr>
            <w:tcW w:w="6447" w:type="dxa"/>
          </w:tcPr>
          <w:p w14:paraId="3959D91B" w14:textId="77777777" w:rsidR="00BA7509" w:rsidRDefault="00000000">
            <w:r>
              <w:t>EW-SG-01</w:t>
            </w:r>
          </w:p>
        </w:tc>
      </w:tr>
      <w:tr w:rsidR="00BA7509" w14:paraId="6EF704A8" w14:textId="77777777">
        <w:tc>
          <w:tcPr>
            <w:tcW w:w="2912" w:type="dxa"/>
          </w:tcPr>
          <w:p w14:paraId="3477B5F4" w14:textId="77777777" w:rsidR="00BA7509" w:rsidRDefault="00000000">
            <w:r>
              <w:t>Version</w:t>
            </w:r>
          </w:p>
        </w:tc>
        <w:tc>
          <w:tcPr>
            <w:tcW w:w="6447" w:type="dxa"/>
          </w:tcPr>
          <w:p w14:paraId="6F8C2868" w14:textId="77777777" w:rsidR="00BA7509" w:rsidRDefault="00000000">
            <w:r>
              <w:t>1.0 approved</w:t>
            </w:r>
          </w:p>
        </w:tc>
      </w:tr>
      <w:tr w:rsidR="00BA7509" w14:paraId="2AA916C0" w14:textId="77777777">
        <w:tc>
          <w:tcPr>
            <w:tcW w:w="2912" w:type="dxa"/>
          </w:tcPr>
          <w:p w14:paraId="157A8A02" w14:textId="77777777" w:rsidR="00BA7509" w:rsidRDefault="00000000">
            <w:r>
              <w:t>Owner</w:t>
            </w:r>
          </w:p>
        </w:tc>
        <w:tc>
          <w:tcPr>
            <w:tcW w:w="6447" w:type="dxa"/>
          </w:tcPr>
          <w:p w14:paraId="190D34A3" w14:textId="77777777" w:rsidR="00BA7509" w:rsidRDefault="00000000">
            <w:r>
              <w:t>Every Well Being Ltd</w:t>
            </w:r>
          </w:p>
        </w:tc>
      </w:tr>
      <w:tr w:rsidR="00BA7509" w14:paraId="7BDF1BEC" w14:textId="77777777">
        <w:tc>
          <w:tcPr>
            <w:tcW w:w="2912" w:type="dxa"/>
          </w:tcPr>
          <w:p w14:paraId="33DA8CCE" w14:textId="77777777" w:rsidR="00BA7509" w:rsidRDefault="00000000">
            <w:r>
              <w:t>Approved by</w:t>
            </w:r>
          </w:p>
        </w:tc>
        <w:tc>
          <w:tcPr>
            <w:tcW w:w="6447" w:type="dxa"/>
          </w:tcPr>
          <w:p w14:paraId="6258987F" w14:textId="77777777" w:rsidR="00BA7509" w:rsidRDefault="00000000">
            <w:r>
              <w:t>Natasha Rhone, Director, 23 October 2026</w:t>
            </w:r>
          </w:p>
        </w:tc>
      </w:tr>
      <w:tr w:rsidR="00BA7509" w14:paraId="04A232C2" w14:textId="77777777">
        <w:tc>
          <w:tcPr>
            <w:tcW w:w="2912" w:type="dxa"/>
          </w:tcPr>
          <w:p w14:paraId="393F1A21" w14:textId="77777777" w:rsidR="00BA7509" w:rsidRDefault="00000000">
            <w:r>
              <w:t>Issue date</w:t>
            </w:r>
          </w:p>
        </w:tc>
        <w:tc>
          <w:tcPr>
            <w:tcW w:w="6447" w:type="dxa"/>
          </w:tcPr>
          <w:p w14:paraId="44DA4552" w14:textId="77777777" w:rsidR="00BA7509" w:rsidRDefault="00000000">
            <w:r>
              <w:t>23 October 2026</w:t>
            </w:r>
          </w:p>
        </w:tc>
      </w:tr>
      <w:tr w:rsidR="00BA7509" w14:paraId="40B535AD" w14:textId="77777777">
        <w:tc>
          <w:tcPr>
            <w:tcW w:w="2912" w:type="dxa"/>
          </w:tcPr>
          <w:p w14:paraId="5D81F964" w14:textId="77777777" w:rsidR="00BA7509" w:rsidRDefault="00000000">
            <w:r>
              <w:t>Next review</w:t>
            </w:r>
          </w:p>
        </w:tc>
        <w:tc>
          <w:tcPr>
            <w:tcW w:w="6447" w:type="dxa"/>
          </w:tcPr>
          <w:p w14:paraId="5E496504" w14:textId="77777777" w:rsidR="00BA7509" w:rsidRDefault="00000000">
            <w:r>
              <w:t>October 2027, or after any safeguarding incident or change in law or guidance</w:t>
            </w:r>
          </w:p>
        </w:tc>
      </w:tr>
      <w:tr w:rsidR="00BA7509" w14:paraId="090B381D" w14:textId="77777777">
        <w:tc>
          <w:tcPr>
            <w:tcW w:w="2912" w:type="dxa"/>
          </w:tcPr>
          <w:p w14:paraId="02D904EB" w14:textId="77777777" w:rsidR="00BA7509" w:rsidRDefault="00000000">
            <w:r>
              <w:t>Classification</w:t>
            </w:r>
          </w:p>
        </w:tc>
        <w:tc>
          <w:tcPr>
            <w:tcW w:w="6447" w:type="dxa"/>
          </w:tcPr>
          <w:p w14:paraId="5A9E6165" w14:textId="77777777" w:rsidR="00BA7509" w:rsidRDefault="00000000">
            <w:r>
              <w:t>Shared (may be given to clients, providers and practitioners)</w:t>
            </w:r>
          </w:p>
        </w:tc>
      </w:tr>
      <w:tr w:rsidR="00BA7509" w14:paraId="1336A3D7" w14:textId="77777777">
        <w:tc>
          <w:tcPr>
            <w:tcW w:w="2912" w:type="dxa"/>
          </w:tcPr>
          <w:p w14:paraId="0E74618B" w14:textId="77777777" w:rsidR="00BA7509" w:rsidRDefault="00000000">
            <w:r>
              <w:t>Related documents</w:t>
            </w:r>
          </w:p>
        </w:tc>
        <w:tc>
          <w:tcPr>
            <w:tcW w:w="6447" w:type="dxa"/>
          </w:tcPr>
          <w:p w14:paraId="21CEBD08" w14:textId="77777777" w:rsidR="00BA7509" w:rsidRDefault="00000000">
            <w:r>
              <w:t>EW-SG-02 Concern Reporting Procedure; EW-SG-03 Incident Record Form; EW-SG-04 Escalation Flowchart; EW-SG-05 Practitioner Guidance; EW-SG-06 Responsibilities and Contact Register; EW-DP-08 Confidentiality Policy; EW-PRA-07; EW-PRA-08</w:t>
            </w:r>
          </w:p>
        </w:tc>
      </w:tr>
    </w:tbl>
    <w:p w14:paraId="323830F8" w14:textId="77777777" w:rsidR="00BA7509" w:rsidRDefault="00000000">
      <w:pPr>
        <w:pStyle w:val="Heading2"/>
      </w:pPr>
      <w:r>
        <w:t>1. Policy statement</w:t>
      </w:r>
    </w:p>
    <w:p w14:paraId="30BB66F9" w14:textId="77777777" w:rsidR="00BA7509" w:rsidRDefault="00000000">
      <w:r>
        <w:t xml:space="preserve">Every Well Being Ltd (trading as Every Wellbeing; company number 16349786, registered in England and Wales; registered office 71-75 Shelton Street, Covent Garden, London WC2H 9JQ) provides workplace training, coaching, on-site wellbeing activities and health checks, mainly to adults employed by client </w:t>
      </w:r>
      <w:proofErr w:type="spellStart"/>
      <w:r>
        <w:t>organisations</w:t>
      </w:r>
      <w:proofErr w:type="spellEnd"/>
      <w:r>
        <w:t>. Everyone who works for or on behalf of Every Wellbeing has a responsibility to act on concerns that a person may be at risk of harm, to respond appropriately to disclosures, and to share information safely when that is needed to protect someone.</w:t>
      </w:r>
    </w:p>
    <w:p w14:paraId="206A1FDF" w14:textId="77777777" w:rsidR="00BA7509" w:rsidRDefault="00000000">
      <w:r>
        <w:t xml:space="preserve">This policy sets out how Every Wellbeing meets that responsibility. It is proportionate to a business working with adults in workplace settings: it does not treat every participant as an adult at risk, and it </w:t>
      </w:r>
      <w:proofErr w:type="spellStart"/>
      <w:r>
        <w:t>recognises</w:t>
      </w:r>
      <w:proofErr w:type="spellEnd"/>
      <w:r>
        <w:t xml:space="preserve"> that client </w:t>
      </w:r>
      <w:proofErr w:type="spellStart"/>
      <w:r>
        <w:t>organisations</w:t>
      </w:r>
      <w:proofErr w:type="spellEnd"/>
      <w:r>
        <w:t xml:space="preserve"> retain their own duties of care to their employees.</w:t>
      </w:r>
    </w:p>
    <w:p w14:paraId="22557772" w14:textId="77777777" w:rsidR="00BA7509" w:rsidRDefault="00000000">
      <w:pPr>
        <w:pStyle w:val="Heading2"/>
      </w:pPr>
      <w:r>
        <w:t>2. Scope</w:t>
      </w:r>
    </w:p>
    <w:p w14:paraId="43D40431" w14:textId="77777777" w:rsidR="00BA7509" w:rsidRDefault="00000000">
      <w:r>
        <w:t>This policy applies to Natasha Rhone (Director), anyone providing admin or client liaison support, and every freelance practitioner delivering any Every Wellbeing service, in person or online. It covers all services: training and workshops, one-to-one coaching, on-site wellbeing activities (including chair massage, yoga, mindfulness, sound baths and creative sessions), health checks, wellbeing assessments and online courses.</w:t>
      </w:r>
    </w:p>
    <w:p w14:paraId="37B192FC" w14:textId="77777777" w:rsidR="00BA7509" w:rsidRDefault="00000000">
      <w:pPr>
        <w:pStyle w:val="Heading2"/>
      </w:pPr>
      <w:r>
        <w:lastRenderedPageBreak/>
        <w:t>3. Definitions</w:t>
      </w:r>
    </w:p>
    <w:tbl>
      <w:tblPr>
        <w:tblStyle w:val="TableGrid"/>
        <w:tblW w:w="0" w:type="auto"/>
        <w:tblLayout w:type="fixed"/>
        <w:tblLook w:val="0420" w:firstRow="1" w:lastRow="0" w:firstColumn="0" w:lastColumn="0" w:noHBand="0" w:noVBand="1"/>
      </w:tblPr>
      <w:tblGrid>
        <w:gridCol w:w="2840"/>
        <w:gridCol w:w="6519"/>
      </w:tblGrid>
      <w:tr w:rsidR="00BA7509" w14:paraId="36FF9551" w14:textId="77777777">
        <w:trPr>
          <w:tblHeader/>
        </w:trPr>
        <w:tc>
          <w:tcPr>
            <w:tcW w:w="2840" w:type="dxa"/>
            <w:shd w:val="clear" w:color="auto" w:fill="F2F2F2"/>
          </w:tcPr>
          <w:p w14:paraId="32609674" w14:textId="77777777" w:rsidR="00BA7509" w:rsidRDefault="00000000">
            <w:r>
              <w:t>Term</w:t>
            </w:r>
          </w:p>
        </w:tc>
        <w:tc>
          <w:tcPr>
            <w:tcW w:w="6519" w:type="dxa"/>
            <w:shd w:val="clear" w:color="auto" w:fill="F2F2F2"/>
          </w:tcPr>
          <w:p w14:paraId="3E78AFDD" w14:textId="77777777" w:rsidR="00BA7509" w:rsidRDefault="00000000">
            <w:r>
              <w:t>Meaning in this policy</w:t>
            </w:r>
          </w:p>
        </w:tc>
      </w:tr>
      <w:tr w:rsidR="00BA7509" w14:paraId="79C68ECC" w14:textId="77777777">
        <w:tc>
          <w:tcPr>
            <w:tcW w:w="2840" w:type="dxa"/>
          </w:tcPr>
          <w:p w14:paraId="06100AB6" w14:textId="77777777" w:rsidR="00BA7509" w:rsidRDefault="00000000">
            <w:r>
              <w:t>Safeguarding</w:t>
            </w:r>
          </w:p>
        </w:tc>
        <w:tc>
          <w:tcPr>
            <w:tcW w:w="6519" w:type="dxa"/>
          </w:tcPr>
          <w:p w14:paraId="3077AA21" w14:textId="77777777" w:rsidR="00BA7509" w:rsidRDefault="00000000">
            <w:r>
              <w:t>Protecting a person's right to live in safety, free from abuse and neglect, and responding when there is a concern about harm.</w:t>
            </w:r>
          </w:p>
        </w:tc>
      </w:tr>
      <w:tr w:rsidR="00BA7509" w14:paraId="567A933F" w14:textId="77777777">
        <w:tc>
          <w:tcPr>
            <w:tcW w:w="2840" w:type="dxa"/>
          </w:tcPr>
          <w:p w14:paraId="51612E01" w14:textId="77777777" w:rsidR="00BA7509" w:rsidRDefault="00000000">
            <w:r>
              <w:t>Adult at risk</w:t>
            </w:r>
          </w:p>
        </w:tc>
        <w:tc>
          <w:tcPr>
            <w:tcW w:w="6519" w:type="dxa"/>
          </w:tcPr>
          <w:p w14:paraId="182ECCFC" w14:textId="77777777" w:rsidR="00BA7509" w:rsidRDefault="00000000">
            <w:r>
              <w:t>As set out in section 42 of the Care Act 2014: an adult who has needs for care and support, is experiencing or at risk of abuse or neglect, and as a result of those needs is unable to protect themselves. Most employees attending workplace services are not adults at risk.</w:t>
            </w:r>
          </w:p>
        </w:tc>
      </w:tr>
      <w:tr w:rsidR="00BA7509" w14:paraId="4945BB53" w14:textId="77777777">
        <w:tc>
          <w:tcPr>
            <w:tcW w:w="2840" w:type="dxa"/>
          </w:tcPr>
          <w:p w14:paraId="376FBE77" w14:textId="77777777" w:rsidR="00BA7509" w:rsidRDefault="00000000">
            <w:r>
              <w:t>Child</w:t>
            </w:r>
          </w:p>
        </w:tc>
        <w:tc>
          <w:tcPr>
            <w:tcW w:w="6519" w:type="dxa"/>
          </w:tcPr>
          <w:p w14:paraId="54EAA841" w14:textId="77777777" w:rsidR="00BA7509" w:rsidRDefault="00000000">
            <w:r>
              <w:t xml:space="preserve">Anyone under 18. </w:t>
            </w:r>
            <w:proofErr w:type="gramStart"/>
            <w:r>
              <w:t>Every</w:t>
            </w:r>
            <w:proofErr w:type="gramEnd"/>
            <w:r>
              <w:t xml:space="preserve"> Wellbeing services are not designed for children; if an assignment involves anyone under 18 (for example apprentices or a family event), it is assessed before booking (section 9).</w:t>
            </w:r>
          </w:p>
        </w:tc>
      </w:tr>
      <w:tr w:rsidR="00BA7509" w14:paraId="509C844B" w14:textId="77777777">
        <w:tc>
          <w:tcPr>
            <w:tcW w:w="2840" w:type="dxa"/>
          </w:tcPr>
          <w:p w14:paraId="133046B5" w14:textId="77777777" w:rsidR="00BA7509" w:rsidRDefault="00000000">
            <w:r>
              <w:t>Concern</w:t>
            </w:r>
          </w:p>
        </w:tc>
        <w:tc>
          <w:tcPr>
            <w:tcW w:w="6519" w:type="dxa"/>
          </w:tcPr>
          <w:p w14:paraId="3E154247" w14:textId="77777777" w:rsidR="00BA7509" w:rsidRDefault="00000000">
            <w:r>
              <w:t>Anything a practitioner sees, hears or is told that suggests someone may be at risk of harm, including harm from themselves.</w:t>
            </w:r>
          </w:p>
        </w:tc>
      </w:tr>
      <w:tr w:rsidR="00BA7509" w14:paraId="06991409" w14:textId="77777777">
        <w:tc>
          <w:tcPr>
            <w:tcW w:w="2840" w:type="dxa"/>
          </w:tcPr>
          <w:p w14:paraId="1F8C1DAB" w14:textId="77777777" w:rsidR="00BA7509" w:rsidRDefault="00000000">
            <w:r>
              <w:t>Disclosure</w:t>
            </w:r>
          </w:p>
        </w:tc>
        <w:tc>
          <w:tcPr>
            <w:tcW w:w="6519" w:type="dxa"/>
          </w:tcPr>
          <w:p w14:paraId="5D5AFC97" w14:textId="77777777" w:rsidR="00BA7509" w:rsidRDefault="00000000">
            <w:r>
              <w:t>When a person tells a practitioner about harm they have experienced, are experiencing or may cause.</w:t>
            </w:r>
          </w:p>
        </w:tc>
      </w:tr>
      <w:tr w:rsidR="00BA7509" w14:paraId="2C2B312C" w14:textId="77777777">
        <w:tc>
          <w:tcPr>
            <w:tcW w:w="2840" w:type="dxa"/>
          </w:tcPr>
          <w:p w14:paraId="39A25551" w14:textId="77777777" w:rsidR="00BA7509" w:rsidRDefault="00000000">
            <w:r>
              <w:t>Wellbeing concern</w:t>
            </w:r>
          </w:p>
        </w:tc>
        <w:tc>
          <w:tcPr>
            <w:tcW w:w="6519" w:type="dxa"/>
          </w:tcPr>
          <w:p w14:paraId="23AFD92C" w14:textId="77777777" w:rsidR="00BA7509" w:rsidRDefault="00000000">
            <w:r>
              <w:t>A concern about someone's mental or physical wellbeing that does not involve abuse or neglect (for example, distress during a session). Handled under this policy with a proportionate response.</w:t>
            </w:r>
          </w:p>
        </w:tc>
      </w:tr>
    </w:tbl>
    <w:p w14:paraId="100A23B4" w14:textId="77777777" w:rsidR="00BA7509" w:rsidRDefault="00000000">
      <w:pPr>
        <w:pStyle w:val="Heading2"/>
      </w:pPr>
      <w:r>
        <w:t>4. Principles</w:t>
      </w:r>
    </w:p>
    <w:p w14:paraId="70086523" w14:textId="77777777" w:rsidR="00BA7509" w:rsidRDefault="00000000">
      <w:pPr>
        <w:pStyle w:val="ListParagraph"/>
        <w:numPr>
          <w:ilvl w:val="0"/>
          <w:numId w:val="2"/>
        </w:numPr>
      </w:pPr>
      <w:r>
        <w:rPr>
          <w:b/>
        </w:rPr>
        <w:t>Proportionality.</w:t>
      </w:r>
      <w:r>
        <w:t xml:space="preserve"> The response matches the level of risk. Most concerns in workplace settings are wellbeing concerns handled with care, signposting and, where agreed, the client's support routes.</w:t>
      </w:r>
    </w:p>
    <w:p w14:paraId="0D1CEB20" w14:textId="77777777" w:rsidR="00BA7509" w:rsidRDefault="00000000">
      <w:pPr>
        <w:pStyle w:val="ListParagraph"/>
        <w:numPr>
          <w:ilvl w:val="0"/>
          <w:numId w:val="2"/>
        </w:numPr>
      </w:pPr>
      <w:r>
        <w:rPr>
          <w:b/>
        </w:rPr>
        <w:t>Empowerment and consent.</w:t>
      </w:r>
      <w:r>
        <w:t xml:space="preserve"> Adults are presumed to have capacity to make their own decisions. Wherever possible, act with the person's knowledge and consent.</w:t>
      </w:r>
    </w:p>
    <w:p w14:paraId="2974E465" w14:textId="77777777" w:rsidR="00BA7509" w:rsidRDefault="00000000">
      <w:pPr>
        <w:pStyle w:val="ListParagraph"/>
        <w:numPr>
          <w:ilvl w:val="0"/>
          <w:numId w:val="2"/>
        </w:numPr>
      </w:pPr>
      <w:r>
        <w:rPr>
          <w:b/>
        </w:rPr>
        <w:t>Protection.</w:t>
      </w:r>
      <w:r>
        <w:t xml:space="preserve"> Where there is a risk of serious harm to the person or others, or a crime, act to protect even without consent (section 7).</w:t>
      </w:r>
    </w:p>
    <w:p w14:paraId="046AD242" w14:textId="77777777" w:rsidR="00BA7509" w:rsidRDefault="00000000">
      <w:pPr>
        <w:pStyle w:val="ListParagraph"/>
        <w:numPr>
          <w:ilvl w:val="0"/>
          <w:numId w:val="2"/>
        </w:numPr>
      </w:pPr>
      <w:r>
        <w:rPr>
          <w:b/>
        </w:rPr>
        <w:t>Prevention.</w:t>
      </w:r>
      <w:r>
        <w:t xml:space="preserve"> Safe practitioner recruitment, clear conduct standards, safe service design and training reduce the risk of harm.</w:t>
      </w:r>
    </w:p>
    <w:p w14:paraId="1110E01B" w14:textId="77777777" w:rsidR="00BA7509" w:rsidRDefault="00000000">
      <w:pPr>
        <w:pStyle w:val="ListParagraph"/>
        <w:numPr>
          <w:ilvl w:val="0"/>
          <w:numId w:val="2"/>
        </w:numPr>
      </w:pPr>
      <w:r>
        <w:rPr>
          <w:b/>
        </w:rPr>
        <w:t>Accountability.</w:t>
      </w:r>
      <w:r>
        <w:t xml:space="preserve"> Every Wellbeing remains accountable for concerns arising in its services, including those delivered by freelance practitioners.</w:t>
      </w:r>
    </w:p>
    <w:p w14:paraId="4F723324" w14:textId="77777777" w:rsidR="00BA7509" w:rsidRDefault="00000000">
      <w:pPr>
        <w:pStyle w:val="ListParagraph"/>
        <w:numPr>
          <w:ilvl w:val="0"/>
          <w:numId w:val="2"/>
        </w:numPr>
      </w:pPr>
      <w:r>
        <w:rPr>
          <w:b/>
        </w:rPr>
        <w:t>Confidentiality, not secrecy.</w:t>
      </w:r>
      <w:r>
        <w:t xml:space="preserve"> Information is shared only as needed to keep someone safe, and recorded securely.</w:t>
      </w:r>
    </w:p>
    <w:p w14:paraId="6B20C2EB" w14:textId="77777777" w:rsidR="00BA7509" w:rsidRDefault="00000000">
      <w:pPr>
        <w:pStyle w:val="Heading2"/>
      </w:pPr>
      <w:r>
        <w:t>5. Roles and responsibilities</w:t>
      </w:r>
    </w:p>
    <w:tbl>
      <w:tblPr>
        <w:tblStyle w:val="TableGrid"/>
        <w:tblW w:w="0" w:type="auto"/>
        <w:tblLayout w:type="fixed"/>
        <w:tblLook w:val="0420" w:firstRow="1" w:lastRow="0" w:firstColumn="0" w:lastColumn="0" w:noHBand="0" w:noVBand="1"/>
      </w:tblPr>
      <w:tblGrid>
        <w:gridCol w:w="4440"/>
        <w:gridCol w:w="4920"/>
      </w:tblGrid>
      <w:tr w:rsidR="00BA7509" w14:paraId="29352915" w14:textId="77777777">
        <w:trPr>
          <w:tblHeader/>
        </w:trPr>
        <w:tc>
          <w:tcPr>
            <w:tcW w:w="4440" w:type="dxa"/>
            <w:shd w:val="clear" w:color="auto" w:fill="F2F2F2"/>
          </w:tcPr>
          <w:p w14:paraId="62E29F37" w14:textId="77777777" w:rsidR="00BA7509" w:rsidRDefault="00000000">
            <w:r>
              <w:t>Role</w:t>
            </w:r>
          </w:p>
        </w:tc>
        <w:tc>
          <w:tcPr>
            <w:tcW w:w="4920" w:type="dxa"/>
            <w:shd w:val="clear" w:color="auto" w:fill="F2F2F2"/>
          </w:tcPr>
          <w:p w14:paraId="2B02E5C3" w14:textId="77777777" w:rsidR="00BA7509" w:rsidRDefault="00000000">
            <w:r>
              <w:t>Responsibilities</w:t>
            </w:r>
          </w:p>
        </w:tc>
      </w:tr>
      <w:tr w:rsidR="00BA7509" w14:paraId="1EAE4605" w14:textId="77777777">
        <w:tc>
          <w:tcPr>
            <w:tcW w:w="4440" w:type="dxa"/>
          </w:tcPr>
          <w:p w14:paraId="7775C9CA" w14:textId="77777777" w:rsidR="00BA7509" w:rsidRDefault="00000000">
            <w:r>
              <w:t xml:space="preserve">Designated Safeguarding Lead (DSL): Natasha </w:t>
            </w:r>
            <w:r>
              <w:lastRenderedPageBreak/>
              <w:t>Rhone</w:t>
            </w:r>
          </w:p>
        </w:tc>
        <w:tc>
          <w:tcPr>
            <w:tcW w:w="4920" w:type="dxa"/>
          </w:tcPr>
          <w:p w14:paraId="7CCB4F4D" w14:textId="77777777" w:rsidR="00BA7509" w:rsidRDefault="00000000">
            <w:r>
              <w:lastRenderedPageBreak/>
              <w:t xml:space="preserve">Receives and decides on all concerns; makes </w:t>
            </w:r>
            <w:r>
              <w:lastRenderedPageBreak/>
              <w:t>referrals to external agencies; keeps safeguarding records; advises practitioners; reviews this policy; reports annually on safeguarding activity.</w:t>
            </w:r>
          </w:p>
        </w:tc>
      </w:tr>
      <w:tr w:rsidR="00BA7509" w14:paraId="0AE9F74D" w14:textId="77777777">
        <w:tc>
          <w:tcPr>
            <w:tcW w:w="4440" w:type="dxa"/>
          </w:tcPr>
          <w:p w14:paraId="1EC0E9D6" w14:textId="77777777" w:rsidR="00BA7509" w:rsidRDefault="00000000">
            <w:r>
              <w:lastRenderedPageBreak/>
              <w:t>Natasha Rhone, Director</w:t>
            </w:r>
          </w:p>
        </w:tc>
        <w:tc>
          <w:tcPr>
            <w:tcW w:w="4920" w:type="dxa"/>
          </w:tcPr>
          <w:p w14:paraId="69D77D2C" w14:textId="77777777" w:rsidR="00BA7509" w:rsidRDefault="00000000">
            <w:r>
              <w:t>Ensures this policy is in place, resourced and followed; ensures practitioners are vetted and briefed; holds ultimate accountability. Also acts as DSL.</w:t>
            </w:r>
          </w:p>
        </w:tc>
      </w:tr>
      <w:tr w:rsidR="00BA7509" w14:paraId="64E366C5" w14:textId="77777777">
        <w:tc>
          <w:tcPr>
            <w:tcW w:w="4440" w:type="dxa"/>
          </w:tcPr>
          <w:p w14:paraId="4CC0F12E" w14:textId="77777777" w:rsidR="00BA7509" w:rsidRDefault="00000000">
            <w:r>
              <w:t>Freelance practitioners</w:t>
            </w:r>
          </w:p>
        </w:tc>
        <w:tc>
          <w:tcPr>
            <w:tcW w:w="4920" w:type="dxa"/>
          </w:tcPr>
          <w:p w14:paraId="20F151FF" w14:textId="77777777" w:rsidR="00BA7509" w:rsidRDefault="00000000">
            <w:r>
              <w:t>Follow this policy and EW-SG-05; respond to concerns and disclosures; report the same day; never investigate; keep information confidential.</w:t>
            </w:r>
          </w:p>
        </w:tc>
      </w:tr>
      <w:tr w:rsidR="00BA7509" w14:paraId="44E1118C" w14:textId="77777777">
        <w:tc>
          <w:tcPr>
            <w:tcW w:w="4440" w:type="dxa"/>
          </w:tcPr>
          <w:p w14:paraId="02EA8A2F" w14:textId="77777777" w:rsidR="00BA7509" w:rsidRDefault="00000000">
            <w:r>
              <w:t>Admin support</w:t>
            </w:r>
          </w:p>
        </w:tc>
        <w:tc>
          <w:tcPr>
            <w:tcW w:w="4920" w:type="dxa"/>
          </w:tcPr>
          <w:p w14:paraId="7AC3CECA" w14:textId="77777777" w:rsidR="00BA7509" w:rsidRDefault="00000000">
            <w:r>
              <w:t>Passes any concern received (for example by email or phone) to the DSL immediately; does not act on it themselves.</w:t>
            </w:r>
          </w:p>
        </w:tc>
      </w:tr>
      <w:tr w:rsidR="00BA7509" w14:paraId="5540F6CB" w14:textId="77777777">
        <w:tc>
          <w:tcPr>
            <w:tcW w:w="4440" w:type="dxa"/>
          </w:tcPr>
          <w:p w14:paraId="096B0380" w14:textId="77777777" w:rsidR="00BA7509" w:rsidRDefault="00000000">
            <w:r>
              <w:t xml:space="preserve">Client </w:t>
            </w:r>
            <w:proofErr w:type="spellStart"/>
            <w:r>
              <w:t>organisations</w:t>
            </w:r>
            <w:proofErr w:type="spellEnd"/>
          </w:p>
        </w:tc>
        <w:tc>
          <w:tcPr>
            <w:tcW w:w="4920" w:type="dxa"/>
          </w:tcPr>
          <w:p w14:paraId="6971FE98" w14:textId="77777777" w:rsidR="00BA7509" w:rsidRDefault="00000000">
            <w:r>
              <w:t>Retain their duty of care to their employees; provide named contacts for urgent concerns during on-site delivery; act on concerns referred to them with the person's consent.</w:t>
            </w:r>
          </w:p>
        </w:tc>
      </w:tr>
    </w:tbl>
    <w:p w14:paraId="3848A0F7" w14:textId="77777777" w:rsidR="00BA7509" w:rsidRDefault="00000000">
      <w:r>
        <w:t>If the DSL cannot be reached, any concern is reported to the client's named contact (with consent where possible) or, in an emergency, to the emergency services.</w:t>
      </w:r>
    </w:p>
    <w:p w14:paraId="5553E7B1" w14:textId="77777777" w:rsidR="00BA7509" w:rsidRDefault="00000000">
      <w:r>
        <w:t>Safeguarding contact: Natasha Rhone, Designated Safeguarding Lead, 020 3297 7197, info@everywell-being.com, Monday to Friday, 9am to 5pm. Full contact details for practitioners are in EW-SG-06.</w:t>
      </w:r>
    </w:p>
    <w:p w14:paraId="0EEC417A" w14:textId="77777777" w:rsidR="00BA7509" w:rsidRDefault="00000000">
      <w:pPr>
        <w:pStyle w:val="Heading2"/>
      </w:pPr>
      <w:r>
        <w:t>6. Responding to concerns and disclosures</w:t>
      </w:r>
    </w:p>
    <w:p w14:paraId="1898A670" w14:textId="77777777" w:rsidR="00BA7509" w:rsidRDefault="00000000">
      <w:r>
        <w:t>Practitioners follow the procedure in EW-SG-02. In summary:</w:t>
      </w:r>
    </w:p>
    <w:p w14:paraId="3335C43F" w14:textId="77777777" w:rsidR="00BA7509" w:rsidRDefault="00000000">
      <w:pPr>
        <w:pStyle w:val="ListParagraph"/>
        <w:numPr>
          <w:ilvl w:val="0"/>
          <w:numId w:val="3"/>
        </w:numPr>
      </w:pPr>
      <w:r>
        <w:rPr>
          <w:b/>
        </w:rPr>
        <w:t>If anyone is in immediate danger,</w:t>
      </w:r>
      <w:r>
        <w:t xml:space="preserve"> call 999.</w:t>
      </w:r>
    </w:p>
    <w:p w14:paraId="30B66926" w14:textId="77777777" w:rsidR="00BA7509" w:rsidRDefault="00000000">
      <w:pPr>
        <w:pStyle w:val="ListParagraph"/>
        <w:numPr>
          <w:ilvl w:val="0"/>
          <w:numId w:val="3"/>
        </w:numPr>
      </w:pPr>
      <w:r>
        <w:rPr>
          <w:b/>
        </w:rPr>
        <w:t>Listen</w:t>
      </w:r>
      <w:r>
        <w:t xml:space="preserve"> calmly; do not ask leading questions or investigate.</w:t>
      </w:r>
    </w:p>
    <w:p w14:paraId="60EC9C7C" w14:textId="77777777" w:rsidR="00BA7509" w:rsidRDefault="00000000">
      <w:pPr>
        <w:pStyle w:val="ListParagraph"/>
        <w:numPr>
          <w:ilvl w:val="0"/>
          <w:numId w:val="3"/>
        </w:numPr>
      </w:pPr>
      <w:r>
        <w:rPr>
          <w:b/>
        </w:rPr>
        <w:t>Reassure</w:t>
      </w:r>
      <w:r>
        <w:t xml:space="preserve"> the person that they were right to speak, without promising to keep secrets.</w:t>
      </w:r>
    </w:p>
    <w:p w14:paraId="703C3E66" w14:textId="77777777" w:rsidR="00BA7509" w:rsidRDefault="00000000">
      <w:pPr>
        <w:pStyle w:val="ListParagraph"/>
        <w:numPr>
          <w:ilvl w:val="0"/>
          <w:numId w:val="3"/>
        </w:numPr>
      </w:pPr>
      <w:r>
        <w:rPr>
          <w:b/>
        </w:rPr>
        <w:t>Explain</w:t>
      </w:r>
      <w:r>
        <w:t xml:space="preserve"> what will happen next and who will be told.</w:t>
      </w:r>
    </w:p>
    <w:p w14:paraId="5232CAD6" w14:textId="77777777" w:rsidR="00BA7509" w:rsidRDefault="00000000">
      <w:pPr>
        <w:pStyle w:val="ListParagraph"/>
        <w:numPr>
          <w:ilvl w:val="0"/>
          <w:numId w:val="3"/>
        </w:numPr>
      </w:pPr>
      <w:r>
        <w:rPr>
          <w:b/>
        </w:rPr>
        <w:t>Record</w:t>
      </w:r>
      <w:r>
        <w:t xml:space="preserve"> what was said and seen, in the person's words, as soon as possible on EW-SG-03.</w:t>
      </w:r>
    </w:p>
    <w:p w14:paraId="019C5048" w14:textId="77777777" w:rsidR="00BA7509" w:rsidRDefault="00000000">
      <w:pPr>
        <w:pStyle w:val="ListParagraph"/>
        <w:numPr>
          <w:ilvl w:val="0"/>
          <w:numId w:val="3"/>
        </w:numPr>
      </w:pPr>
      <w:r>
        <w:rPr>
          <w:b/>
        </w:rPr>
        <w:t>Report</w:t>
      </w:r>
      <w:r>
        <w:t xml:space="preserve"> to the DSL the same day.</w:t>
      </w:r>
    </w:p>
    <w:p w14:paraId="64C09A25" w14:textId="77777777" w:rsidR="00BA7509" w:rsidRDefault="00000000">
      <w:pPr>
        <w:pStyle w:val="Heading2"/>
      </w:pPr>
      <w:r>
        <w:t>7. Information sharing</w:t>
      </w:r>
    </w:p>
    <w:p w14:paraId="4BE65BED" w14:textId="77777777" w:rsidR="00BA7509" w:rsidRDefault="00000000">
      <w:pPr>
        <w:pStyle w:val="ListParagraph"/>
        <w:numPr>
          <w:ilvl w:val="0"/>
          <w:numId w:val="4"/>
        </w:numPr>
      </w:pPr>
      <w:r>
        <w:t>Concerns are discussed with the person first, and information is shared with their consent wherever possible.</w:t>
      </w:r>
    </w:p>
    <w:p w14:paraId="5F617A46" w14:textId="77777777" w:rsidR="00BA7509" w:rsidRDefault="00000000">
      <w:pPr>
        <w:pStyle w:val="ListParagraph"/>
        <w:numPr>
          <w:ilvl w:val="0"/>
          <w:numId w:val="4"/>
        </w:numPr>
      </w:pPr>
      <w:r>
        <w:t xml:space="preserve">Information may be shared without consent where it is necessary to protect the person or someone else from serious harm, to prevent or detect a crime, or where the person lacks capacity to decide. UK GDPR and the Data Protection Act 2018 permit sharing in these </w:t>
      </w:r>
      <w:r>
        <w:lastRenderedPageBreak/>
        <w:t>circumstances; the decision is made by the DSL, recorded with reasons, and limited to what is necessary.</w:t>
      </w:r>
    </w:p>
    <w:p w14:paraId="399CADD7" w14:textId="77777777" w:rsidR="00BA7509" w:rsidRDefault="00000000">
      <w:pPr>
        <w:pStyle w:val="ListParagraph"/>
        <w:numPr>
          <w:ilvl w:val="0"/>
          <w:numId w:val="4"/>
        </w:numPr>
      </w:pPr>
      <w:r>
        <w:t>Information about a participant is never shared with their employer except as set out above or with the participant's consent.</w:t>
      </w:r>
    </w:p>
    <w:p w14:paraId="4AC5E5D9" w14:textId="77777777" w:rsidR="00BA7509" w:rsidRDefault="00000000">
      <w:pPr>
        <w:pStyle w:val="Heading2"/>
      </w:pPr>
      <w:r>
        <w:t>8. Mental health and wellbeing concerns in sessions</w:t>
      </w:r>
    </w:p>
    <w:p w14:paraId="250FA062" w14:textId="77777777" w:rsidR="00BA7509" w:rsidRDefault="00000000">
      <w:r>
        <w:t xml:space="preserve">Workshops and coaching may raise difficult personal experiences. Practitioners keep sessions within the service boundaries, never offer therapy, follow EW-SG-05 if a participant becomes distressed, and signpost support: the client's employee assistance </w:t>
      </w:r>
      <w:proofErr w:type="spellStart"/>
      <w:r>
        <w:t>programme</w:t>
      </w:r>
      <w:proofErr w:type="spellEnd"/>
      <w:r>
        <w:t>, the person's GP, NHS 111, or Samaritans (116 123). If someone says they intend to harm themselves or others, or appears at immediate risk, the practitioner stays with them where safe, calls 999 if there is immediate danger, and reports to the DSL straight away.</w:t>
      </w:r>
    </w:p>
    <w:p w14:paraId="63888E51" w14:textId="77777777" w:rsidR="00BA7509" w:rsidRDefault="00000000">
      <w:pPr>
        <w:pStyle w:val="Heading2"/>
      </w:pPr>
      <w:r>
        <w:t>9. Children and adults with care and support needs</w:t>
      </w:r>
    </w:p>
    <w:p w14:paraId="08C8948B" w14:textId="77777777" w:rsidR="00BA7509" w:rsidRDefault="00000000">
      <w:r>
        <w:t>Before accepting any assignment involving people under 18 or adults known to have care and support needs, Natasha Rhone assesses: whether the service is suitable; whether the practitioner's role would be regulated activity and what level of DBS check is required and permitted; supervision ratios; and the client's own safeguarding arrangements. The assessment is recorded with the booking. Concerns about children are referred to the local authority children's services or the police; the NSPCC helpline (0808 800 5000) can advise.</w:t>
      </w:r>
    </w:p>
    <w:p w14:paraId="11F7472E" w14:textId="77777777" w:rsidR="00BA7509" w:rsidRDefault="00000000">
      <w:pPr>
        <w:pStyle w:val="Heading2"/>
      </w:pPr>
      <w:r>
        <w:t>10. Safe practice and recruitment</w:t>
      </w:r>
    </w:p>
    <w:p w14:paraId="56726968" w14:textId="77777777" w:rsidR="00BA7509" w:rsidRDefault="00000000">
      <w:pPr>
        <w:pStyle w:val="ListParagraph"/>
        <w:numPr>
          <w:ilvl w:val="0"/>
          <w:numId w:val="5"/>
        </w:numPr>
      </w:pPr>
      <w:r>
        <w:t>Practitioners are approved under EW-PRA-07 before delivering any service, including checks of identity, qualifications, references and insurance. DBS checks are requested only where the role is eligible.</w:t>
      </w:r>
    </w:p>
    <w:p w14:paraId="7E428F5F" w14:textId="77777777" w:rsidR="00BA7509" w:rsidRDefault="00000000">
      <w:pPr>
        <w:pStyle w:val="ListParagraph"/>
        <w:numPr>
          <w:ilvl w:val="0"/>
          <w:numId w:val="5"/>
        </w:numPr>
      </w:pPr>
      <w:r>
        <w:t xml:space="preserve">All practitioners agree to the Code of Conduct (EW-PRA-08) and read this policy and EW-SG-05 before their first assignment, and again when </w:t>
      </w:r>
      <w:proofErr w:type="gramStart"/>
      <w:r>
        <w:t>either changes</w:t>
      </w:r>
      <w:proofErr w:type="gramEnd"/>
      <w:r>
        <w:t>.</w:t>
      </w:r>
    </w:p>
    <w:p w14:paraId="5A83327C" w14:textId="77777777" w:rsidR="00BA7509" w:rsidRDefault="00000000">
      <w:pPr>
        <w:pStyle w:val="ListParagraph"/>
        <w:numPr>
          <w:ilvl w:val="0"/>
          <w:numId w:val="5"/>
        </w:numPr>
      </w:pPr>
      <w:r>
        <w:t>One-to-one services (coaching, health checks, chair massage) are delivered in a space that is private but not isolated, in line with the relevant service specification.</w:t>
      </w:r>
    </w:p>
    <w:p w14:paraId="7634AC5D" w14:textId="77777777" w:rsidR="00BA7509" w:rsidRDefault="00000000">
      <w:pPr>
        <w:pStyle w:val="Heading2"/>
      </w:pPr>
      <w:r>
        <w:t>11. Concerns about a practitioner or about Every Wellbeing</w:t>
      </w:r>
    </w:p>
    <w:p w14:paraId="5DC56C83" w14:textId="77777777" w:rsidR="00BA7509" w:rsidRDefault="00000000">
      <w:r>
        <w:t>Any concern that a practitioner or anyone working for Every Wellbeing has harmed someone, or behaved in a way that suggests they may pose a risk, is reported to the DSL (Natasha Rhone). If the concern is about the DSL, it is reported directly to the police or the local authority. The practitioner may be suspended from assignments while the concern is considered (EW-PRA-10). Where a crime may have been committed, the police are informed. Where a practitioner has been removed for harming or risking harm to someone, Natasha Rhone considers whether a referral to the Disclosure and Barring Service is required or appropriate, taking advice where needed.</w:t>
      </w:r>
    </w:p>
    <w:p w14:paraId="79E0B9AC" w14:textId="77777777" w:rsidR="00BA7509" w:rsidRDefault="00000000">
      <w:pPr>
        <w:pStyle w:val="Heading2"/>
      </w:pPr>
      <w:r>
        <w:lastRenderedPageBreak/>
        <w:t>12. Training</w:t>
      </w:r>
    </w:p>
    <w:p w14:paraId="3D4004C1" w14:textId="77777777" w:rsidR="00BA7509" w:rsidRDefault="00000000">
      <w:r>
        <w:t>The DSL completes safeguarding adults training appropriate to their role and refresh it at least every three years. Practitioners complete Every Wellbeing's safeguarding briefing before their first assignment and refresh it every two years.</w:t>
      </w:r>
    </w:p>
    <w:p w14:paraId="5C0330F6" w14:textId="77777777" w:rsidR="00BA7509" w:rsidRDefault="00000000">
      <w:pPr>
        <w:pStyle w:val="Heading2"/>
      </w:pPr>
      <w:r>
        <w:t>13. Records</w:t>
      </w:r>
    </w:p>
    <w:p w14:paraId="017A26D6" w14:textId="77777777" w:rsidR="00BA7509" w:rsidRDefault="00000000">
      <w:r>
        <w:t>Safeguarding records are kept on EW-SG-03, stored in the password-protected Confidential folder in iCloud Drive (11 Complaints and Incidents), accessible only to the DSL, and retained as set out in the Data Retention Schedule (EW-DP-03).</w:t>
      </w:r>
    </w:p>
    <w:p w14:paraId="46308E93" w14:textId="77777777" w:rsidR="00BA7509" w:rsidRDefault="00000000">
      <w:pPr>
        <w:pStyle w:val="Heading2"/>
      </w:pPr>
      <w:r>
        <w:t>14. Review</w:t>
      </w:r>
    </w:p>
    <w:p w14:paraId="4FDA6509" w14:textId="77777777" w:rsidR="00BA7509" w:rsidRDefault="00000000">
      <w:r>
        <w:t>This policy is reviewed annually, after any serious safeguarding incident, and when law or guidance changes. Changes are communicated to all practitioners.</w:t>
      </w:r>
    </w:p>
    <w:p w14:paraId="0862E217" w14:textId="77777777" w:rsidR="00BA7509" w:rsidRDefault="00000000">
      <w:pPr>
        <w:pStyle w:val="Heading2"/>
      </w:pPr>
      <w:r>
        <w:t>Change log</w:t>
      </w:r>
    </w:p>
    <w:tbl>
      <w:tblPr>
        <w:tblStyle w:val="TableGrid"/>
        <w:tblW w:w="0" w:type="auto"/>
        <w:tblLayout w:type="fixed"/>
        <w:tblLook w:val="0420" w:firstRow="1" w:lastRow="0" w:firstColumn="0" w:lastColumn="0" w:noHBand="0" w:noVBand="1"/>
      </w:tblPr>
      <w:tblGrid>
        <w:gridCol w:w="1702"/>
        <w:gridCol w:w="2917"/>
        <w:gridCol w:w="2430"/>
        <w:gridCol w:w="2309"/>
      </w:tblGrid>
      <w:tr w:rsidR="00BA7509" w14:paraId="44ACA474" w14:textId="77777777">
        <w:trPr>
          <w:tblHeader/>
        </w:trPr>
        <w:tc>
          <w:tcPr>
            <w:tcW w:w="1702" w:type="dxa"/>
            <w:shd w:val="clear" w:color="auto" w:fill="F2F2F2"/>
          </w:tcPr>
          <w:p w14:paraId="54883B56" w14:textId="77777777" w:rsidR="00BA7509" w:rsidRDefault="00000000">
            <w:r>
              <w:t>Version</w:t>
            </w:r>
          </w:p>
        </w:tc>
        <w:tc>
          <w:tcPr>
            <w:tcW w:w="2917" w:type="dxa"/>
            <w:shd w:val="clear" w:color="auto" w:fill="F2F2F2"/>
          </w:tcPr>
          <w:p w14:paraId="095927D0" w14:textId="77777777" w:rsidR="00BA7509" w:rsidRDefault="00000000">
            <w:r>
              <w:t>Date</w:t>
            </w:r>
          </w:p>
        </w:tc>
        <w:tc>
          <w:tcPr>
            <w:tcW w:w="2430" w:type="dxa"/>
            <w:shd w:val="clear" w:color="auto" w:fill="F2F2F2"/>
          </w:tcPr>
          <w:p w14:paraId="3C591AAC" w14:textId="77777777" w:rsidR="00BA7509" w:rsidRDefault="00000000">
            <w:r>
              <w:t>Change</w:t>
            </w:r>
          </w:p>
        </w:tc>
        <w:tc>
          <w:tcPr>
            <w:tcW w:w="2309" w:type="dxa"/>
            <w:shd w:val="clear" w:color="auto" w:fill="F2F2F2"/>
          </w:tcPr>
          <w:p w14:paraId="41611698" w14:textId="77777777" w:rsidR="00BA7509" w:rsidRDefault="00000000">
            <w:r>
              <w:t>Approved by</w:t>
            </w:r>
          </w:p>
        </w:tc>
      </w:tr>
      <w:tr w:rsidR="00BA7509" w14:paraId="7DEF0B27" w14:textId="77777777">
        <w:tc>
          <w:tcPr>
            <w:tcW w:w="1702" w:type="dxa"/>
          </w:tcPr>
          <w:p w14:paraId="2E2DCAD0" w14:textId="77777777" w:rsidR="00BA7509" w:rsidRDefault="00000000">
            <w:r>
              <w:t>1.0</w:t>
            </w:r>
          </w:p>
        </w:tc>
        <w:tc>
          <w:tcPr>
            <w:tcW w:w="2917" w:type="dxa"/>
          </w:tcPr>
          <w:p w14:paraId="2DCA4AC8" w14:textId="77777777" w:rsidR="00BA7509" w:rsidRDefault="00000000">
            <w:r>
              <w:t>23 October 2026</w:t>
            </w:r>
          </w:p>
        </w:tc>
        <w:tc>
          <w:tcPr>
            <w:tcW w:w="2430" w:type="dxa"/>
          </w:tcPr>
          <w:p w14:paraId="44A39D7E" w14:textId="77777777" w:rsidR="00BA7509" w:rsidRDefault="00000000">
            <w:r>
              <w:t>First version</w:t>
            </w:r>
          </w:p>
        </w:tc>
        <w:tc>
          <w:tcPr>
            <w:tcW w:w="2309" w:type="dxa"/>
          </w:tcPr>
          <w:p w14:paraId="53DDC583" w14:textId="77777777" w:rsidR="00BA7509" w:rsidRDefault="00000000">
            <w:r>
              <w:t>Natasha Rhone</w:t>
            </w:r>
          </w:p>
        </w:tc>
      </w:tr>
    </w:tbl>
    <w:p w14:paraId="568BCBD5" w14:textId="77777777" w:rsidR="00BA7509" w:rsidRDefault="00BA7509"/>
    <w:sectPr w:rsidR="00BA7509">
      <w:pgSz w:w="12240" w:h="15840"/>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nsolas">
    <w:panose1 w:val="020B0609020204030204"/>
    <w:charset w:val="00"/>
    <w:family w:val="modern"/>
    <w:pitch w:val="fixed"/>
    <w:sig w:usb0="E10002FF" w:usb1="4000FCFF" w:usb2="00000009" w:usb3="00000000" w:csb0="0000019F" w:csb1="00000000"/>
  </w:font>
  <w:font w:name="Aptos Display">
    <w:panose1 w:val="020B0004020202020204"/>
    <w:charset w:val="00"/>
    <w:family w:val="swiss"/>
    <w:pitch w:val="variable"/>
    <w:sig w:usb0="20000287" w:usb1="00000003" w:usb2="00000000" w:usb3="00000000" w:csb0="0000019F" w:csb1="00000000"/>
  </w:font>
  <w:font w:name="Aptos">
    <w:panose1 w:val="020B0004020202020204"/>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BF2785C"/>
    <w:multiLevelType w:val="hybridMultilevel"/>
    <w:tmpl w:val="4E244916"/>
    <w:lvl w:ilvl="0" w:tplc="6964B77E">
      <w:start w:val="1"/>
      <w:numFmt w:val="decimal"/>
      <w:lvlText w:val="%1."/>
      <w:lvlJc w:val="left"/>
      <w:pPr>
        <w:ind w:left="720" w:hanging="360"/>
      </w:pPr>
    </w:lvl>
    <w:lvl w:ilvl="1" w:tplc="FAB82FA6">
      <w:start w:val="1"/>
      <w:numFmt w:val="lowerLetter"/>
      <w:lvlText w:val="%2."/>
      <w:lvlJc w:val="left"/>
      <w:pPr>
        <w:ind w:left="1440" w:hanging="360"/>
      </w:pPr>
    </w:lvl>
    <w:lvl w:ilvl="2" w:tplc="4CEC53D6">
      <w:start w:val="1"/>
      <w:numFmt w:val="lowerRoman"/>
      <w:lvlText w:val="%3."/>
      <w:lvlJc w:val="left"/>
      <w:pPr>
        <w:ind w:left="2160" w:hanging="360"/>
      </w:pPr>
    </w:lvl>
    <w:lvl w:ilvl="3" w:tplc="C93A6478">
      <w:start w:val="1"/>
      <w:numFmt w:val="decimal"/>
      <w:lvlText w:val="%4."/>
      <w:lvlJc w:val="left"/>
      <w:pPr>
        <w:ind w:left="2880" w:hanging="360"/>
      </w:pPr>
    </w:lvl>
    <w:lvl w:ilvl="4" w:tplc="EE8C1A48">
      <w:start w:val="1"/>
      <w:numFmt w:val="lowerLetter"/>
      <w:lvlText w:val="%5."/>
      <w:lvlJc w:val="left"/>
      <w:pPr>
        <w:ind w:left="3600" w:hanging="360"/>
      </w:pPr>
    </w:lvl>
    <w:lvl w:ilvl="5" w:tplc="A6D826B2">
      <w:start w:val="1"/>
      <w:numFmt w:val="lowerRoman"/>
      <w:lvlText w:val="%6."/>
      <w:lvlJc w:val="left"/>
      <w:pPr>
        <w:ind w:left="4320" w:hanging="360"/>
      </w:pPr>
    </w:lvl>
    <w:lvl w:ilvl="6" w:tplc="CFE62280">
      <w:start w:val="1"/>
      <w:numFmt w:val="decimal"/>
      <w:lvlText w:val="%7."/>
      <w:lvlJc w:val="left"/>
      <w:pPr>
        <w:ind w:left="5040" w:hanging="360"/>
      </w:pPr>
    </w:lvl>
    <w:lvl w:ilvl="7" w:tplc="FB385DF0">
      <w:start w:val="1"/>
      <w:numFmt w:val="lowerLetter"/>
      <w:lvlText w:val="%8."/>
      <w:lvlJc w:val="left"/>
      <w:pPr>
        <w:ind w:left="5760" w:hanging="360"/>
      </w:pPr>
    </w:lvl>
    <w:lvl w:ilvl="8" w:tplc="31BA01F4">
      <w:start w:val="1"/>
      <w:numFmt w:val="lowerRoman"/>
      <w:lvlText w:val="%9."/>
      <w:lvlJc w:val="left"/>
      <w:pPr>
        <w:ind w:left="6480" w:hanging="360"/>
      </w:pPr>
    </w:lvl>
  </w:abstractNum>
  <w:abstractNum w:abstractNumId="1" w15:restartNumberingAfterBreak="0">
    <w:nsid w:val="645862E9"/>
    <w:multiLevelType w:val="hybridMultilevel"/>
    <w:tmpl w:val="88B880B4"/>
    <w:lvl w:ilvl="0" w:tplc="DF8EF17C">
      <w:start w:val="1"/>
      <w:numFmt w:val="bullet"/>
      <w:lvlText w:val="•"/>
      <w:lvlJc w:val="left"/>
      <w:pPr>
        <w:ind w:left="720" w:hanging="360"/>
      </w:pPr>
    </w:lvl>
    <w:lvl w:ilvl="1" w:tplc="CB6215E0">
      <w:start w:val="1"/>
      <w:numFmt w:val="bullet"/>
      <w:lvlText w:val="o"/>
      <w:lvlJc w:val="left"/>
      <w:pPr>
        <w:ind w:left="1440" w:hanging="360"/>
      </w:pPr>
    </w:lvl>
    <w:lvl w:ilvl="2" w:tplc="72F0C608">
      <w:start w:val="1"/>
      <w:numFmt w:val="bullet"/>
      <w:lvlText w:val="▪"/>
      <w:lvlJc w:val="left"/>
      <w:pPr>
        <w:ind w:left="2160" w:hanging="360"/>
      </w:pPr>
    </w:lvl>
    <w:lvl w:ilvl="3" w:tplc="A9C0A3B4">
      <w:start w:val="1"/>
      <w:numFmt w:val="bullet"/>
      <w:lvlText w:val="•"/>
      <w:lvlJc w:val="left"/>
      <w:pPr>
        <w:ind w:left="2880" w:hanging="360"/>
      </w:pPr>
    </w:lvl>
    <w:lvl w:ilvl="4" w:tplc="D71262A4">
      <w:start w:val="1"/>
      <w:numFmt w:val="bullet"/>
      <w:lvlText w:val="o"/>
      <w:lvlJc w:val="left"/>
      <w:pPr>
        <w:ind w:left="3600" w:hanging="360"/>
      </w:pPr>
    </w:lvl>
    <w:lvl w:ilvl="5" w:tplc="B106B78A">
      <w:start w:val="1"/>
      <w:numFmt w:val="bullet"/>
      <w:lvlText w:val="▪"/>
      <w:lvlJc w:val="left"/>
      <w:pPr>
        <w:ind w:left="4320" w:hanging="360"/>
      </w:pPr>
    </w:lvl>
    <w:lvl w:ilvl="6" w:tplc="BF06F542">
      <w:start w:val="1"/>
      <w:numFmt w:val="bullet"/>
      <w:lvlText w:val="•"/>
      <w:lvlJc w:val="left"/>
      <w:pPr>
        <w:ind w:left="5040" w:hanging="360"/>
      </w:pPr>
    </w:lvl>
    <w:lvl w:ilvl="7" w:tplc="6A1E6D0C">
      <w:start w:val="1"/>
      <w:numFmt w:val="bullet"/>
      <w:lvlText w:val="o"/>
      <w:lvlJc w:val="left"/>
      <w:pPr>
        <w:ind w:left="5760" w:hanging="360"/>
      </w:pPr>
    </w:lvl>
    <w:lvl w:ilvl="8" w:tplc="D5329230">
      <w:start w:val="1"/>
      <w:numFmt w:val="bullet"/>
      <w:lvlText w:val="▪"/>
      <w:lvlJc w:val="left"/>
      <w:pPr>
        <w:ind w:left="6480" w:hanging="360"/>
      </w:pPr>
    </w:lvl>
  </w:abstractNum>
  <w:num w:numId="1" w16cid:durableId="1997805489">
    <w:abstractNumId w:val="1"/>
  </w:num>
  <w:num w:numId="2" w16cid:durableId="481773416">
    <w:abstractNumId w:val="0"/>
    <w:lvlOverride w:ilvl="0">
      <w:startOverride w:val="1"/>
    </w:lvlOverride>
  </w:num>
  <w:num w:numId="3" w16cid:durableId="1533151139">
    <w:abstractNumId w:val="0"/>
    <w:lvlOverride w:ilvl="0">
      <w:startOverride w:val="1"/>
    </w:lvlOverride>
  </w:num>
  <w:num w:numId="4" w16cid:durableId="654456895">
    <w:abstractNumId w:val="1"/>
  </w:num>
  <w:num w:numId="5" w16cid:durableId="1819876798">
    <w:abstractNumId w:val="1"/>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A7509"/>
    <w:rsid w:val="000E1F89"/>
    <w:rsid w:val="001F3FA9"/>
    <w:rsid w:val="00BA750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4:docId w14:val="14BDEBA5"/>
  <w15:docId w15:val="{E398E1A3-A36D-6F4A-8158-070647D997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Calibri" w:eastAsia="Calibri" w:hAnsi="Calibri" w:cs="Calibri"/>
        <w:sz w:val="22"/>
        <w:szCs w:val="22"/>
        <w:lang w:val="en-US"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spacing w:before="360" w:after="120"/>
      <w:outlineLvl w:val="0"/>
    </w:pPr>
    <w:rPr>
      <w:b/>
      <w:sz w:val="32"/>
    </w:rPr>
  </w:style>
  <w:style w:type="paragraph" w:styleId="Heading2">
    <w:name w:val="heading 2"/>
    <w:basedOn w:val="Normal"/>
    <w:next w:val="Normal"/>
    <w:uiPriority w:val="9"/>
    <w:unhideWhenUsed/>
    <w:qFormat/>
    <w:pPr>
      <w:keepNext/>
      <w:spacing w:before="280" w:after="100"/>
      <w:outlineLvl w:val="1"/>
    </w:pPr>
    <w:rPr>
      <w:b/>
      <w:sz w:val="26"/>
    </w:rPr>
  </w:style>
  <w:style w:type="paragraph" w:styleId="Heading3">
    <w:name w:val="heading 3"/>
    <w:basedOn w:val="Normal"/>
    <w:next w:val="Normal"/>
    <w:uiPriority w:val="9"/>
    <w:semiHidden/>
    <w:unhideWhenUsed/>
    <w:qFormat/>
    <w:pPr>
      <w:keepNext/>
      <w:spacing w:before="240" w:after="80"/>
      <w:outlineLvl w:val="2"/>
    </w:pPr>
    <w:rPr>
      <w:b/>
      <w:sz w:val="24"/>
    </w:rPr>
  </w:style>
  <w:style w:type="paragraph" w:styleId="Heading4">
    <w:name w:val="heading 4"/>
    <w:basedOn w:val="Normal"/>
    <w:next w:val="Normal"/>
    <w:uiPriority w:val="9"/>
    <w:semiHidden/>
    <w:unhideWhenUsed/>
    <w:qFormat/>
    <w:pPr>
      <w:keepNext/>
      <w:outlineLvl w:val="3"/>
    </w:pPr>
    <w:rPr>
      <w:b/>
    </w:rPr>
  </w:style>
  <w:style w:type="paragraph" w:styleId="Heading5">
    <w:name w:val="heading 5"/>
    <w:basedOn w:val="Normal"/>
    <w:next w:val="Normal"/>
    <w:uiPriority w:val="9"/>
    <w:semiHidden/>
    <w:unhideWhenUsed/>
    <w:qFormat/>
    <w:pPr>
      <w:keepNext/>
      <w:outlineLvl w:val="4"/>
    </w:pPr>
    <w:rPr>
      <w:b/>
    </w:rPr>
  </w:style>
  <w:style w:type="paragraph" w:styleId="Heading6">
    <w:name w:val="heading 6"/>
    <w:basedOn w:val="Normal"/>
    <w:next w:val="Normal"/>
    <w:uiPriority w:val="9"/>
    <w:semiHidden/>
    <w:unhideWhenUsed/>
    <w:qFormat/>
    <w:pPr>
      <w:keepNext/>
      <w:outlineLvl w:val="5"/>
    </w:pPr>
    <w:rPr>
      <w: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spacing w:after="80"/>
      <w:contextualSpacing/>
    </w:pPr>
    <w:rPr>
      <w:sz w:val="56"/>
    </w:rPr>
  </w:style>
  <w:style w:type="paragraph" w:styleId="Quote">
    <w:name w:val="Quote"/>
    <w:basedOn w:val="Normal"/>
    <w:qFormat/>
    <w:pPr>
      <w:pBdr>
        <w:left w:val="single" w:sz="12" w:space="8" w:color="A0A0A0"/>
      </w:pBdr>
      <w:ind w:left="720" w:right="720"/>
    </w:pPr>
    <w:rPr>
      <w:i/>
      <w:color w:val="404040"/>
    </w:rPr>
  </w:style>
  <w:style w:type="paragraph" w:customStyle="1" w:styleId="Code">
    <w:name w:val="Code"/>
    <w:basedOn w:val="Normal"/>
    <w:link w:val="CodeChar"/>
    <w:pPr>
      <w:shd w:val="clear" w:color="auto" w:fill="F5F5F5"/>
      <w:spacing w:after="0" w:line="240" w:lineRule="auto"/>
      <w:contextualSpacing/>
    </w:pPr>
    <w:rPr>
      <w:rFonts w:ascii="Consolas" w:eastAsia="Consolas" w:hAnsi="Consolas" w:cs="Consolas"/>
      <w:sz w:val="20"/>
    </w:rPr>
  </w:style>
  <w:style w:type="character" w:customStyle="1" w:styleId="CodeChar">
    <w:name w:val="Code Char"/>
    <w:link w:val="Code"/>
    <w:rPr>
      <w:rFonts w:ascii="Consolas" w:eastAsia="Consolas" w:hAnsi="Consolas" w:cs="Consolas"/>
      <w:sz w:val="20"/>
      <w:shd w:val="clear" w:color="auto" w:fill="F5F5F5"/>
    </w:rPr>
  </w:style>
  <w:style w:type="paragraph" w:styleId="ListParagraph">
    <w:name w:val="List Paragraph"/>
    <w:basedOn w:val="Normal"/>
    <w:qFormat/>
    <w:pPr>
      <w:ind w:left="720"/>
      <w:contextualSpacing/>
    </w:pPr>
  </w:style>
  <w:style w:type="character" w:styleId="Hyperlink">
    <w:name w:val="Hyperlink"/>
    <w:rPr>
      <w:color w:val="0563C1"/>
      <w:u w:val="single"/>
    </w:rPr>
  </w:style>
  <w:style w:type="paragraph" w:styleId="CommentText">
    <w:name w:val="annotation text"/>
    <w:basedOn w:val="Normal"/>
    <w:pPr>
      <w:spacing w:line="240" w:lineRule="auto"/>
    </w:pPr>
    <w:rPr>
      <w:sz w:val="20"/>
      <w:szCs w:val="20"/>
    </w:rPr>
  </w:style>
  <w:style w:type="character" w:styleId="CommentReference">
    <w:name w:val="annotation reference"/>
    <w:rPr>
      <w:sz w:val="16"/>
      <w:szCs w:val="16"/>
    </w:rPr>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TotalTime>
  <Pages>5</Pages>
  <Words>1428</Words>
  <Characters>8144</Characters>
  <Application>Microsoft Office Word</Application>
  <DocSecurity>0</DocSecurity>
  <Lines>67</Lines>
  <Paragraphs>19</Paragraphs>
  <ScaleCrop>false</ScaleCrop>
  <Company/>
  <LinksUpToDate>false</LinksUpToDate>
  <CharactersWithSpaces>9553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EW-SG-01 Safeguarding Policy</dc:title>
  <dc:description>Claude Docs node/7cf1a2dd-065a@1 docx-w7</dc:description>
  <cp:lastModifiedBy>Natasha </cp:lastModifiedBy>
  <cp:revision>2</cp:revision>
  <dcterms:created xsi:type="dcterms:W3CDTF">2026-10-25T11:52:00Z</dcterms:created>
  <dcterms:modified xsi:type="dcterms:W3CDTF">2026-10-25T11:52:00Z</dcterms:modified>
</cp:coreProperties>
</file>